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2000000">
      <w:pPr>
        <w:spacing w:after="0" w:before="0"/>
        <w:ind w:firstLine="0" w:left="120"/>
        <w:jc w:val="center"/>
        <w:rPr>
          <w:rFonts w:ascii="Times New Roman" w:hAnsi="Times New Roman"/>
        </w:rPr>
      </w:pPr>
      <w:bookmarkStart w:id="1" w:name="block-39788339"/>
      <w:r>
        <w:drawing>
          <wp:inline>
            <wp:extent cx="6210300" cy="8873361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2"/>
                    <a:stretch/>
                  </pic:blipFill>
                  <pic:spPr>
                    <a:xfrm flipH="false" flipV="false" rot="0">
                      <a:ext cx="6210300" cy="8873361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3000000">
      <w:pPr>
        <w:sectPr>
          <w:pgSz w:h="16383" w:orient="portrait" w:w="11906"/>
          <w:pgMar w:bottom="850" w:left="1276" w:right="850" w:top="850"/>
        </w:sectPr>
      </w:pPr>
    </w:p>
    <w:p w14:paraId="04000000">
      <w:pPr>
        <w:spacing w:after="0" w:before="0"/>
        <w:ind w:firstLine="0" w:left="120"/>
        <w:jc w:val="center"/>
      </w:pPr>
      <w:bookmarkStart w:id="2" w:name="block-39788338"/>
      <w:bookmarkEnd w:id="1"/>
      <w:r>
        <w:rPr>
          <w:rFonts w:ascii="Times New Roman" w:hAnsi="Times New Roman"/>
          <w:b w:val="1"/>
          <w:i w:val="0"/>
          <w:color w:val="000000"/>
          <w:sz w:val="28"/>
        </w:rPr>
        <w:t>ПОЯСНИТЕЛЬНАЯ ЗАПИСКА</w:t>
      </w:r>
    </w:p>
    <w:p w14:paraId="05000000">
      <w:pPr>
        <w:spacing w:after="0" w:before="0"/>
        <w:ind w:firstLine="0" w:left="120"/>
        <w:jc w:val="both"/>
      </w:pPr>
    </w:p>
    <w:p w14:paraId="0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современном цифровом мире вероятность и статистика приобретают всё большую значимость, как с точки зрения практических приложений, так и их роли в образовании, необходимом каждому человеку. Возрастает число профессий, при овладении которыми требуется хорошая базовая подготовка в области вероятности и статистики, такая подготовка важна для продолжения образования и для успешной профессиональной карьеры.</w:t>
      </w:r>
    </w:p>
    <w:p w14:paraId="0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Каждый человек постоянно принимает решения на основе имеющихся у него данных. А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мышление.</w:t>
      </w:r>
    </w:p>
    <w:p w14:paraId="0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Именно поэтому остро встала необходимость сформировать у обучающихся функциональную грамотность, включающую в себя в качестве неотъемлемой составляющей умение воспринимать и критически анализировать информацию, представленную в различных формах, понимать вероятностный характер многих реальных процессов и зависимостей, производить простейшие вероятностные расчёты. </w:t>
      </w:r>
    </w:p>
    <w:p w14:paraId="0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в учебном курсе с основными принципами сбора, анализа и представления данных из различных сфер жизни общества и государства приобщает обучающихся к общественным интересам. Изучение основ комбинаторики развивает навыки организации перебора и подсчёта числа вариантов, в том числе в прикладных задачах. Знакомство с основами теории графов создаёт математический фундамент для формирования компетенций в области информатики и цифровых технологий. При изучении статистики и вероятности обогащаются представления обучающихся о современной картине мира и методах его исследования, формируется понимание роли статистики как источника социально значимой информации и закладываются основы вероятностного мышления.</w:t>
      </w:r>
    </w:p>
    <w:p w14:paraId="0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соответствии с данными целями в структуре программы учебного курса «Вероятность и статистика» основного общего образования выделены следующие содержательно-методические линии: «Представление данных и описательная статистика», «Вероятность», «Элементы комбинаторики», «Введение в теорию графов».</w:t>
      </w:r>
    </w:p>
    <w:p w14:paraId="0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 линии «Представление данных и описательная статистика» служит основой для формирования навыков работы с информацией: от чтения и интерпретации информации, представленной в таблицах, на диаграммах и графиках, до сбора, представления и анализа данных с использованием статистических характеристик средних и рассеивания. Работая с данными, обучающиеся учатся считывать и интерпретировать данные, выдвигать, аргументировать и критиковать простейшие гипотезы, размышлять над факторами, вызывающими изменчивость, и оценивать их влияние на рассматриваемые величины и процессы.</w:t>
      </w:r>
    </w:p>
    <w:p w14:paraId="0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Интуитивное представление о случайной изменчивости, исследование закономерностей и тенденций становится мотивирующей основой для изучения теории вероятностей. Большое значение имеют практические задания, в частности опыты с классическими вероятностными моделями.</w:t>
      </w:r>
    </w:p>
    <w:p w14:paraId="0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Понятие вероятности вводится как мера правдоподобия случайного события.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исходами, вероятностными законами, позволяющими ставить и решать более сложные задачи. В учебный курс входят начальные представления о случайных величинах и их числовых характеристиках.</w:t>
      </w:r>
    </w:p>
    <w:p w14:paraId="0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рамках учебного курса осуществляется знакомство обучающихся с множествами и основными операциями над множествами, рассматриваются примеры применения для решения задач, а также использования в других математических курсах и учебных предметах.</w:t>
      </w:r>
    </w:p>
    <w:p w14:paraId="0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7–9 классах изучается учебный курс «Вероятность и статистика», в который входят разделы: «Представление данных и описательная статистика», «Вероятность», «Элементы комбинаторики», «Введение в теорию графов».</w:t>
      </w:r>
    </w:p>
    <w:p w14:paraId="10000000">
      <w:pPr>
        <w:spacing w:after="0" w:before="0"/>
        <w:ind w:firstLine="600" w:left="0"/>
        <w:jc w:val="both"/>
      </w:pPr>
      <w:bookmarkStart w:id="3" w:name="b3c9237e-6172-48ee-b1c7-f6774da89513"/>
      <w:bookmarkEnd w:id="3"/>
      <w:r>
        <w:rPr>
          <w:rFonts w:ascii="Times New Roman" w:hAnsi="Times New Roman"/>
          <w:b w:val="0"/>
          <w:i w:val="0"/>
          <w:color w:val="000000"/>
          <w:sz w:val="28"/>
        </w:rPr>
        <w:t>На изучение учебного курса «Вероятность и статистика» отводится 102 часа: в 7 классе – 34 часа (1 час в неделю).</w:t>
      </w:r>
    </w:p>
    <w:p w14:paraId="11000000">
      <w:pPr>
        <w:sectPr>
          <w:pgSz w:h="16383" w:orient="portrait" w:w="11906"/>
        </w:sectPr>
      </w:pPr>
    </w:p>
    <w:p w14:paraId="12000000">
      <w:pPr>
        <w:spacing w:after="0" w:before="0"/>
        <w:ind w:firstLine="0" w:left="120"/>
        <w:jc w:val="center"/>
      </w:pPr>
      <w:bookmarkStart w:id="4" w:name="block-39788333"/>
      <w:bookmarkEnd w:id="2"/>
      <w:r>
        <w:rPr>
          <w:rFonts w:ascii="Times New Roman" w:hAnsi="Times New Roman"/>
          <w:b w:val="1"/>
          <w:i w:val="0"/>
          <w:color w:val="000000"/>
          <w:sz w:val="28"/>
        </w:rPr>
        <w:t>СОДЕРЖАНИЕ ОБУЧЕНИЯ</w:t>
      </w:r>
    </w:p>
    <w:p w14:paraId="13000000">
      <w:pPr>
        <w:spacing w:after="0" w:before="0"/>
        <w:ind w:firstLine="0" w:left="120"/>
        <w:jc w:val="both"/>
      </w:pPr>
    </w:p>
    <w:p w14:paraId="14000000">
      <w:pPr>
        <w:spacing w:after="0" w:before="0"/>
        <w:ind w:firstLine="0" w:left="120"/>
        <w:jc w:val="center"/>
      </w:pPr>
      <w:r>
        <w:rPr>
          <w:rFonts w:ascii="Times New Roman" w:hAnsi="Times New Roman"/>
          <w:b w:val="1"/>
          <w:i w:val="0"/>
          <w:color w:val="000000"/>
          <w:sz w:val="28"/>
        </w:rPr>
        <w:t>7 КЛАСС</w:t>
      </w:r>
    </w:p>
    <w:p w14:paraId="15000000">
      <w:pPr>
        <w:spacing w:after="0" w:before="0"/>
        <w:ind w:firstLine="0" w:left="120"/>
        <w:jc w:val="both"/>
      </w:pPr>
    </w:p>
    <w:p w14:paraId="1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Представление данных в виде таблиц, диаграмм, графиков. Заполнение таблиц, чтение и построение диаграмм (столбиковых (столбчатых) и круговых). Чтение графиков реальных процессов. Извлечение информации из диаграмм и таблиц, использование и интерпретация данных.</w:t>
      </w:r>
    </w:p>
    <w:p w14:paraId="1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Описательная статистика: среднее арифметическое, медиана, размах, наибольшее и наименьшее значения набора числовых данных. Примеры случайной изменчивости.</w:t>
      </w:r>
    </w:p>
    <w:p w14:paraId="1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Случайный эксперимент (опыт) и случайное событие. Вероятность и частота. Роль маловероятных и практически достоверных событий в природе и в обществе. Монета и игральная кость в теории вероятностей.</w:t>
      </w:r>
    </w:p>
    <w:p w14:paraId="1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Граф, вершина, ребро. Степень вершины. Число рёбер и суммарная степень вершин. Представление о связности графа. Цепи и циклы. Пути в графах. Обход графа (эйлеров путь). Представление об ориентированном графе. Решение задач с помощью графов.</w:t>
      </w:r>
    </w:p>
    <w:p w14:paraId="1A000000">
      <w:pPr>
        <w:spacing w:after="0" w:before="0"/>
        <w:ind w:firstLine="0" w:left="-589"/>
        <w:jc w:val="both"/>
      </w:pPr>
    </w:p>
    <w:p w14:paraId="1B000000">
      <w:pPr>
        <w:spacing w:after="0" w:before="0"/>
        <w:ind w:firstLine="0" w:left="-589"/>
        <w:jc w:val="center"/>
      </w:pPr>
      <w:bookmarkStart w:id="5" w:name="block-39788334"/>
      <w:bookmarkEnd w:id="4"/>
      <w:r>
        <w:rPr>
          <w:rFonts w:ascii="Times New Roman" w:hAnsi="Times New Roman"/>
          <w:b w:val="1"/>
          <w:i w:val="0"/>
          <w:color w:val="000000"/>
          <w:sz w:val="28"/>
        </w:rPr>
        <w:t>ПЛАНИРУЕМЫЕ РЕЗУЛЬТАТЫ ОСВОЕНИЯ ПРОГРАММЫ УЧЕБНОГО КУРСА «ВЕРОЯТНОСТЬ И СТАТИСТИКА» НА УРОВНЕ ОСНОВНОГО ОБЩЕГО ОБРАЗОВАНИЯ</w:t>
      </w:r>
    </w:p>
    <w:p w14:paraId="1C000000">
      <w:pPr>
        <w:spacing w:after="0" w:before="0"/>
        <w:ind w:firstLine="0" w:left="120"/>
        <w:jc w:val="both"/>
      </w:pPr>
    </w:p>
    <w:p w14:paraId="1D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ЛИЧНОСТНЫЕ РЕЗУЛЬТАТЫ</w:t>
      </w:r>
    </w:p>
    <w:p w14:paraId="1E000000">
      <w:pPr>
        <w:spacing w:after="0" w:before="0"/>
        <w:ind w:firstLine="0" w:left="120"/>
        <w:jc w:val="both"/>
      </w:pPr>
    </w:p>
    <w:p w14:paraId="1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Личностные результаты </w:t>
      </w:r>
      <w:r>
        <w:rPr>
          <w:rFonts w:ascii="Times New Roman" w:hAnsi="Times New Roman"/>
          <w:b w:val="0"/>
          <w:i w:val="0"/>
          <w:color w:val="000000"/>
          <w:sz w:val="28"/>
        </w:rPr>
        <w:t>освоения программы учебного курса «Вероятность и статистика» характеризуются:</w:t>
      </w:r>
    </w:p>
    <w:p w14:paraId="2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1) патриотическое воспитание:</w:t>
      </w:r>
    </w:p>
    <w:p w14:paraId="2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14:paraId="2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2) гражданское и духовно-нравственное воспитание:</w:t>
      </w:r>
    </w:p>
    <w:p w14:paraId="2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14:paraId="2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3) трудовое воспитание:</w:t>
      </w:r>
    </w:p>
    <w:p w14:paraId="2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14:paraId="2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4) эстетическое воспитание:</w:t>
      </w:r>
    </w:p>
    <w:p w14:paraId="2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14:paraId="2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5) ценности научного познания:</w:t>
      </w:r>
    </w:p>
    <w:p w14:paraId="2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14:paraId="2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6) физическое воспитание, формирование культуры здоровья и эмоционального благополучия:</w:t>
      </w:r>
    </w:p>
    <w:p w14:paraId="2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сформированностью навыка рефлексии, признанием своего права на ошибку и такого же права другого человека;</w:t>
      </w:r>
    </w:p>
    <w:p w14:paraId="2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7) экологическое воспитание:</w:t>
      </w:r>
    </w:p>
    <w:p w14:paraId="2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14:paraId="2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8) адаптация к изменяющимся условиям социальной и природной среды:</w:t>
      </w:r>
    </w:p>
    <w:p w14:paraId="2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14:paraId="3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14:paraId="3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14:paraId="32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МЕТАПРЕДМЕТНЫЕ РЕЗУЛЬТАТЫ</w:t>
      </w:r>
    </w:p>
    <w:p w14:paraId="33000000">
      <w:pPr>
        <w:spacing w:after="0" w:before="0"/>
        <w:ind w:firstLine="0" w:left="120"/>
        <w:jc w:val="both"/>
      </w:pPr>
    </w:p>
    <w:p w14:paraId="34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Познавательные универсальные учебные действия</w:t>
      </w:r>
    </w:p>
    <w:p w14:paraId="35000000">
      <w:pPr>
        <w:spacing w:after="0" w:before="0"/>
        <w:ind w:firstLine="0" w:left="120"/>
        <w:jc w:val="both"/>
      </w:pPr>
    </w:p>
    <w:p w14:paraId="36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Базовые логические действия:</w:t>
      </w:r>
    </w:p>
    <w:p w14:paraId="37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14:paraId="38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14:paraId="39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14:paraId="3A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14:paraId="3B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контрпримеры, обосновывать собственные рассуждения;</w:t>
      </w:r>
    </w:p>
    <w:p w14:paraId="3C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14:paraId="3D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 w14:paraId="3E000000">
      <w:pPr>
        <w:numPr>
          <w:ilvl w:val="0"/>
          <w:numId w:val="2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14:paraId="3F000000">
      <w:pPr>
        <w:numPr>
          <w:ilvl w:val="0"/>
          <w:numId w:val="2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14:paraId="40000000">
      <w:pPr>
        <w:numPr>
          <w:ilvl w:val="0"/>
          <w:numId w:val="2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14:paraId="41000000">
      <w:pPr>
        <w:numPr>
          <w:ilvl w:val="0"/>
          <w:numId w:val="2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прогнозировать возможное развитие процесса, а также выдвигать предположения о его развитии в новых условиях.</w:t>
      </w:r>
    </w:p>
    <w:p w14:paraId="42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Работа с информацией:</w:t>
      </w:r>
    </w:p>
    <w:p w14:paraId="43000000">
      <w:pPr>
        <w:numPr>
          <w:ilvl w:val="0"/>
          <w:numId w:val="3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недостаточность и избыточность информации, данных, необходимых для решения задачи;</w:t>
      </w:r>
    </w:p>
    <w:p w14:paraId="44000000">
      <w:pPr>
        <w:numPr>
          <w:ilvl w:val="0"/>
          <w:numId w:val="3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14:paraId="45000000">
      <w:pPr>
        <w:numPr>
          <w:ilvl w:val="0"/>
          <w:numId w:val="3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14:paraId="46000000">
      <w:pPr>
        <w:numPr>
          <w:ilvl w:val="0"/>
          <w:numId w:val="3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оценивать надёжность информации по критериям, предложенным учителем или сформулированным самостоятельно.</w:t>
      </w:r>
    </w:p>
    <w:p w14:paraId="47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Коммуникативные универсальные учебные действия:</w:t>
      </w:r>
    </w:p>
    <w:p w14:paraId="48000000">
      <w:pPr>
        <w:numPr>
          <w:ilvl w:val="0"/>
          <w:numId w:val="4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</w:r>
    </w:p>
    <w:p w14:paraId="49000000">
      <w:pPr>
        <w:numPr>
          <w:ilvl w:val="0"/>
          <w:numId w:val="4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14:paraId="4A000000">
      <w:pPr>
        <w:numPr>
          <w:ilvl w:val="0"/>
          <w:numId w:val="4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14:paraId="4B000000">
      <w:pPr>
        <w:numPr>
          <w:ilvl w:val="0"/>
          <w:numId w:val="4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14:paraId="4C000000">
      <w:pPr>
        <w:numPr>
          <w:ilvl w:val="0"/>
          <w:numId w:val="4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14:paraId="4D000000">
      <w:pPr>
        <w:numPr>
          <w:ilvl w:val="0"/>
          <w:numId w:val="4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14:paraId="4E000000">
      <w:pPr>
        <w:spacing w:after="0" w:before="0"/>
        <w:ind w:firstLine="0" w:left="120"/>
        <w:jc w:val="both"/>
      </w:pPr>
    </w:p>
    <w:p w14:paraId="4F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Регулятивные универсальные учебные действия</w:t>
      </w:r>
    </w:p>
    <w:p w14:paraId="50000000">
      <w:pPr>
        <w:spacing w:after="0" w:before="0"/>
        <w:ind w:firstLine="0" w:left="120"/>
        <w:jc w:val="both"/>
      </w:pPr>
    </w:p>
    <w:p w14:paraId="51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Самоорганизация:</w:t>
      </w:r>
    </w:p>
    <w:p w14:paraId="52000000">
      <w:pPr>
        <w:numPr>
          <w:ilvl w:val="0"/>
          <w:numId w:val="5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14:paraId="53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Самоконтроль, эмоциональный интеллект:</w:t>
      </w:r>
    </w:p>
    <w:p w14:paraId="54000000">
      <w:pPr>
        <w:numPr>
          <w:ilvl w:val="0"/>
          <w:numId w:val="6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владеть способами самопроверки, самоконтроля процесса и результата решения математической задачи;</w:t>
      </w:r>
    </w:p>
    <w:p w14:paraId="55000000">
      <w:pPr>
        <w:numPr>
          <w:ilvl w:val="0"/>
          <w:numId w:val="6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14:paraId="56000000">
      <w:pPr>
        <w:numPr>
          <w:ilvl w:val="0"/>
          <w:numId w:val="6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14:paraId="57000000">
      <w:pPr>
        <w:spacing w:after="0" w:before="0"/>
        <w:ind w:firstLine="0" w:left="120"/>
        <w:jc w:val="both"/>
      </w:pPr>
    </w:p>
    <w:p w14:paraId="58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ПРЕДМЕТНЫЕ РЕЗУЛЬТАТЫ</w:t>
      </w:r>
    </w:p>
    <w:p w14:paraId="59000000">
      <w:pPr>
        <w:spacing w:after="0" w:before="0"/>
        <w:ind w:firstLine="0" w:left="120"/>
        <w:jc w:val="both"/>
      </w:pPr>
    </w:p>
    <w:p w14:paraId="5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 w:val="1"/>
          <w:i w:val="0"/>
          <w:color w:val="000000"/>
          <w:sz w:val="28"/>
        </w:rPr>
        <w:t>в 7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получит следующие предметные результаты:</w:t>
      </w:r>
    </w:p>
    <w:p w14:paraId="5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Читать информацию, представленную в таблицах, на диаграммах, представлять данные в виде таблиц, строить диаграммы (столбиковые (столбчатые) и круговые) по массивам значений.</w:t>
      </w:r>
    </w:p>
    <w:p w14:paraId="5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Описывать и интерпретировать реальные числовые данные, представленные в таблицах, на диаграммах, графиках.</w:t>
      </w:r>
    </w:p>
    <w:p w14:paraId="5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для описания данных статистические характеристики: среднее арифметическое, медиана, наибольшее и наименьшее значения, размах.</w:t>
      </w:r>
    </w:p>
    <w:p w14:paraId="5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Иметь представление о случайной изменчивости на примерах цен, физических величин, антропометрических данных, иметь представление о статистической устойчивости.</w:t>
      </w:r>
    </w:p>
    <w:p w14:paraId="5F000000">
      <w:pPr>
        <w:sectPr>
          <w:pgSz w:h="16383" w:orient="portrait" w:w="11906"/>
        </w:sectPr>
      </w:pPr>
    </w:p>
    <w:p w14:paraId="60000000">
      <w:pPr>
        <w:spacing w:after="0" w:before="0"/>
        <w:ind w:firstLine="0" w:left="120"/>
        <w:jc w:val="left"/>
      </w:pPr>
      <w:bookmarkStart w:id="6" w:name="block-39788335"/>
      <w:bookmarkEnd w:id="5"/>
      <w:r>
        <w:rPr>
          <w:rFonts w:ascii="Times New Roman" w:hAnsi="Times New Roman"/>
          <w:b w:val="1"/>
          <w:i w:val="0"/>
          <w:color w:val="000000"/>
          <w:sz w:val="28"/>
        </w:rPr>
        <w:t xml:space="preserve"> ТЕМАТИЧЕСКОЕ ПЛАНИРОВАНИЕ </w:t>
      </w:r>
    </w:p>
    <w:p w14:paraId="6100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7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485"/>
        <w:gridCol w:w="2640"/>
        <w:gridCol w:w="1017"/>
        <w:gridCol w:w="1745"/>
        <w:gridCol w:w="1829"/>
        <w:gridCol w:w="2757"/>
      </w:tblGrid>
      <w:tr>
        <w:trPr>
          <w:trHeight w:hRule="atLeast" w:val="300"/>
        </w:trPr>
        <w:tc>
          <w:tcPr>
            <w:tcW w:type="dxa" w:w="485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63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640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65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4591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2757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6800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70"/>
        </w:trPr>
        <w:tc>
          <w:tcPr>
            <w:tcW w:type="dxa" w:w="485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2640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6A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6C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6E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757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555"/>
        </w:trPr>
        <w:tc>
          <w:tcPr>
            <w:tcW w:type="dxa" w:w="48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264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Представление данных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7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275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"https://m.edsoo.ru/7f415fdc"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https://m.edsoo.ru/7f415fdc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8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264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Описательная статистика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275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"https://m.edsoo.ru/7f415fdc"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https://m.edsoo.ru/7f415fdc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8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264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Случайная изменчивость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275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"https://m.edsoo.ru/7f415fdc"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https://m.edsoo.ru/7f415fdc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8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264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Введение в теорию графов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75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"https://m.edsoo.ru/7f415fdc"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https://m.edsoo.ru/7f415fdc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8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264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Вероятность и частота случайного события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275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"https://m.edsoo.ru/7f415fdc"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https://m.edsoo.ru/7f415fdc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8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264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Обобщение, систематизация знаний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75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"https://m.edsoo.ru/7f415fdc"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https://m.edsoo.ru/7f415fdc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3125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type="dxa" w:w="275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00000">
            <w:pPr>
              <w:ind/>
              <w:jc w:val="left"/>
            </w:pPr>
          </w:p>
        </w:tc>
      </w:tr>
    </w:tbl>
    <w:p w14:paraId="98000000">
      <w:pPr>
        <w:sectPr>
          <w:pgSz w:h="11906" w:orient="landscape" w:w="16383"/>
        </w:sectPr>
      </w:pPr>
    </w:p>
    <w:p w14:paraId="99000000">
      <w:pPr>
        <w:sectPr>
          <w:pgSz w:h="11906" w:orient="landscape" w:w="16383"/>
        </w:sectPr>
      </w:pPr>
    </w:p>
    <w:p w14:paraId="9A000000">
      <w:pPr>
        <w:spacing w:after="0" w:before="0"/>
        <w:ind w:firstLine="0" w:left="120"/>
        <w:jc w:val="left"/>
      </w:pPr>
      <w:bookmarkStart w:id="7" w:name="block-39788336"/>
      <w:bookmarkEnd w:id="6"/>
      <w:r>
        <w:rPr>
          <w:rFonts w:ascii="Times New Roman" w:hAnsi="Times New Roman"/>
          <w:b w:val="1"/>
          <w:i w:val="0"/>
          <w:color w:val="000000"/>
          <w:sz w:val="28"/>
        </w:rPr>
        <w:t xml:space="preserve"> ПОУРОЧНОЕ ПЛАНИРОВАНИЕ </w:t>
      </w:r>
    </w:p>
    <w:p w14:paraId="9B00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7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747"/>
        <w:gridCol w:w="3419"/>
        <w:gridCol w:w="869"/>
        <w:gridCol w:w="1573"/>
        <w:gridCol w:w="1669"/>
        <w:gridCol w:w="1189"/>
        <w:gridCol w:w="3547"/>
      </w:tblGrid>
      <w:tr>
        <w:trPr>
          <w:trHeight w:hRule="atLeast" w:val="300"/>
        </w:trPr>
        <w:tc>
          <w:tcPr>
            <w:tcW w:type="dxa" w:w="747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9D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419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 w14:paraId="9F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4111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1189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 w14:paraId="A2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A400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795"/>
        </w:trPr>
        <w:tc>
          <w:tcPr>
            <w:tcW w:type="dxa" w:w="747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419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A6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A8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AA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189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547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Представление данных в таблицах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"https://m.edsoo.ru/863ec1f8"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https://m.edsoo.ru/863ec1f8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Практические вычисления по табличным данным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"https://m.edsoo.ru/863ec324"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https://m.edsoo.ru/863ec324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Извлечение и интерпретация табличных данных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"https://m.edsoo.ru/863ec78e"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https://m.edsoo.ru/863ec78e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91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Практическая работа "Таблицы"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0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90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Графическое представление данных в виде круговых, столбиковых (столбчатых) диаграмм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"https://m.edsoo.ru/863ed18e"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https://m.edsoo.ru/863ed18e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Чтение и построение диаграмм. Примеры демографических диаграмм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"https://m.edsoo.ru/863ed602"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https://m.edsoo.ru/863ed602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Практическая работа "Диаграммы"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"https://m.edsoo.ru/863ed72e"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https://m.edsoo.ru/863ed72e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Числовые наборы. Среднее арифметическое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"https://m.edsoo.ru/863ed846"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https://m.edsoo.ru/863ed846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Числовые наборы. Среднее арифметическое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"https://m.edsoo.ru/863ed846"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https://m.edsoo.ru/863ed846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Медиана числового набора. Устойчивость медианы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"https://m.edsoo.ru/863edb3e"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https://m.edsoo.ru/863edb3e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Медиана числового набора. Устойчивость медианы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0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Практическая работа "Средние значения"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"https://m.edsoo.ru/863edc6a"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https://m.edsoo.ru/863edc6a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Наибольшее и наименьшее значения числового набора. Размах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"https://m.edsoo.ru/863ee07a"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https://m.edsoo.ru/863ee07a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Наибольшее и наименьшее значения числового набора. Размах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Наибольшее и наименьшее значения числового набора. Размах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81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 по темам "Представление данных. Описательная статистика"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"https://m.edsoo.ru/863ee390"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https://m.edsoo.ru/863ee390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Случайная изменчивость (примеры)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"https://m.edsoo.ru/863ee4bc"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https://m.edsoo.ru/863ee4bc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Частота значений в массиве данных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"https://m.edsoo.ru/863ee69c"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https://m.edsoo.ru/863ee69c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Группировка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"https://m.edsoo.ru/863ee9d0"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https://m.edsoo.ru/863ee9d0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300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Гистограммы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Гистограммы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"https://m.edsoo.ru/863eee1c"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https://m.edsoo.ru/863eee1c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Практическая работа "Случайная изменчивость"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"https://m.edsoo.ru/863eecc8"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https://m.edsoo.ru/863eecc8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Граф, вершина, ребро. Представление задачи с помощью графа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"https://m.edsoo.ru/863eef52"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https://m.edsoo.ru/863eef52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Степень (валентность) вершины. Число рёбер и суммарная степень вершин. Цепь и цикл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"https://m.edsoo.ru/863ef0ba"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https://m.edsoo.ru/863ef0ba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Цепь и цикл. Путь в графе. Представление о связности графа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"https://m.edsoo.ru/863ef236"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https://m.edsoo.ru/863ef236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Представление об ориентированных графах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"https://m.edsoo.ru/863ef3b2"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https://m.edsoo.ru/863ef3b2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Случайный опыт и случайное событие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"https://m.edsoo.ru/863ef4d4"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https://m.edsoo.ru/863ef4d4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44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Вероятность и частота события. Роль маловероятных и практически достоверных событий в природе и в обществе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"https://m.edsoo.ru/863ef646"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https://m.edsoo.ru/863ef646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70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Монета и игральная кость в теории вероятностей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Практическая работа "Частота выпадения орла"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"https://m.edsoo.ru/863ef8a8"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https://m.edsoo.ru/863ef8a8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 по темам "Случайная изменчивость. Графы. Вероятность случайного события"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"https://m.edsoo.ru/863f0186"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https://m.edsoo.ru/863f0186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обобщение. Представление данных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"https://m.edsoo.ru/863efa24"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https://m.edsoo.ru/863efa24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обобщение. Описательная статистика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"https://m.edsoo.ru/863efbaa"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https://m.edsoo.ru/863efbaa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7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type="dxa" w:w="34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обобщение. Вероятность случайного события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"https://m.edsoo.ru/863efec0"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https://m.edsoo.ru/863efec0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166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type="dxa" w:w="4736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10000">
            <w:pPr>
              <w:ind/>
              <w:jc w:val="left"/>
            </w:pPr>
          </w:p>
        </w:tc>
      </w:tr>
    </w:tbl>
    <w:p w14:paraId="9E010000">
      <w:pPr>
        <w:sectPr>
          <w:pgSz w:h="11906" w:orient="landscape" w:w="16383"/>
        </w:sectPr>
      </w:pPr>
    </w:p>
    <w:p w14:paraId="9F010000">
      <w:pPr>
        <w:sectPr>
          <w:pgSz w:h="11906" w:orient="landscape" w:w="16383"/>
        </w:sectPr>
      </w:pPr>
    </w:p>
    <w:p w14:paraId="A0010000">
      <w:pPr>
        <w:spacing w:after="0" w:before="0"/>
        <w:ind w:firstLine="0" w:left="120"/>
        <w:jc w:val="left"/>
      </w:pPr>
      <w:bookmarkStart w:id="8" w:name="block-39788337"/>
      <w:bookmarkEnd w:id="7"/>
      <w:r>
        <w:rPr>
          <w:rFonts w:ascii="Times New Roman" w:hAnsi="Times New Roman"/>
          <w:b w:val="1"/>
          <w:i w:val="0"/>
          <w:color w:val="000000"/>
          <w:sz w:val="28"/>
        </w:rPr>
        <w:t>УЧЕБНО-МЕТОДИЧЕСКОЕ ОБЕСПЕЧЕНИЕ ОБРАЗОВАТЕЛЬНОГО ПРОЦЕССА</w:t>
      </w:r>
    </w:p>
    <w:p w14:paraId="A101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ОБЯЗАТЕЛЬНЫЕ УЧЕБНЫЕ МАТЕРИАЛЫ ДЛЯ УЧЕНИКА</w:t>
      </w:r>
    </w:p>
    <w:p w14:paraId="A2010000">
      <w:pPr>
        <w:spacing w:after="0" w:before="0"/>
        <w:ind w:firstLine="0" w:left="120"/>
        <w:jc w:val="left"/>
      </w:pPr>
    </w:p>
    <w:p w14:paraId="A301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Математика. Вероятность и статистика (в 2 частях)  7-9  класс, И.Р.Высоцкий, И.В.Ященко </w:t>
      </w:r>
      <w:r>
        <w:rPr>
          <w:rFonts w:ascii="Times New Roman" w:hAnsi="Times New Roman"/>
          <w:sz w:val="28"/>
        </w:rPr>
        <w:t xml:space="preserve"> – Москва: Просвещение, 2023г</w:t>
      </w:r>
    </w:p>
    <w:p w14:paraId="A4010000">
      <w:pPr>
        <w:spacing w:after="0" w:before="0"/>
        <w:ind w:firstLine="0" w:left="120"/>
        <w:jc w:val="left"/>
      </w:pPr>
    </w:p>
    <w:p w14:paraId="A5010000">
      <w:pPr>
        <w:spacing w:after="0" w:before="0"/>
        <w:ind w:firstLine="0" w:left="120"/>
        <w:jc w:val="left"/>
      </w:pPr>
    </w:p>
    <w:p w14:paraId="A601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МЕТОДИЧЕСКИЕ МАТЕРИАЛЫ ДЛЯ УЧИТЕЛЯ</w:t>
      </w:r>
    </w:p>
    <w:p w14:paraId="A7010000">
      <w:pPr>
        <w:spacing w:after="0" w:before="0"/>
        <w:ind w:firstLine="0" w:left="120"/>
        <w:jc w:val="left"/>
      </w:pPr>
    </w:p>
    <w:p w14:paraId="A8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highlight w:val="white"/>
        </w:rPr>
        <w:t xml:space="preserve">Методические рекомендации. 7-9 класс (к учебнику Ященко И.В. </w:t>
      </w:r>
      <w:r>
        <w:rPr>
          <w:rFonts w:ascii="Times New Roman" w:hAnsi="Times New Roman"/>
          <w:sz w:val="28"/>
          <w:highlight w:val="white"/>
        </w:rPr>
        <w:t>идр</w:t>
      </w:r>
      <w:r>
        <w:rPr>
          <w:rFonts w:ascii="Times New Roman" w:hAnsi="Times New Roman"/>
          <w:sz w:val="28"/>
          <w:highlight w:val="white"/>
        </w:rPr>
        <w:t>.)</w:t>
      </w:r>
    </w:p>
    <w:p w14:paraId="A9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Дидактические материалы по теории вероятности</w:t>
      </w:r>
      <w:r>
        <w:rPr>
          <w:rFonts w:ascii="Times New Roman" w:hAnsi="Times New Roman"/>
          <w:sz w:val="28"/>
        </w:rPr>
        <w:t xml:space="preserve"> 7-9 класс. Издательство "Просвещение", Высоцкий И.Р.</w:t>
      </w:r>
    </w:p>
    <w:p w14:paraId="AA010000">
      <w:pPr>
        <w:spacing w:after="0" w:before="0"/>
        <w:ind w:firstLine="0" w:left="120"/>
        <w:jc w:val="left"/>
      </w:pPr>
    </w:p>
    <w:p w14:paraId="AB01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ЦИФРОВЫЕ ОБРАЗОВАТЕЛЬНЫЕ РЕСУРСЫ И РЕСУРСЫ СЕТИ ИНТЕРНЕТ</w:t>
      </w:r>
    </w:p>
    <w:p w14:paraId="AC010000">
      <w:pPr>
        <w:spacing w:after="0" w:before="0"/>
        <w:ind w:firstLine="0" w:left="120"/>
        <w:jc w:val="left"/>
      </w:pPr>
    </w:p>
    <w:p w14:paraId="AD010000">
      <w:pPr>
        <w:rPr>
          <w:rFonts w:ascii="Times New Roman" w:hAnsi="Times New Roman"/>
        </w:rPr>
      </w:pPr>
      <w:r>
        <w:rPr>
          <w:rFonts w:ascii="Times New Roman" w:hAnsi="Times New Roman"/>
          <w:sz w:val="24"/>
        </w:rPr>
        <w:t xml:space="preserve">Библиотека ЦОК </w:t>
      </w:r>
      <w:r>
        <w:rPr>
          <w:rFonts w:ascii="Times New Roman" w:hAnsi="Times New Roman"/>
          <w:color w:val="0000FF"/>
          <w:u w:val="single"/>
        </w:rPr>
        <w:fldChar w:fldCharType="begin"/>
      </w:r>
      <w:r>
        <w:rPr>
          <w:rFonts w:ascii="Times New Roman" w:hAnsi="Times New Roman"/>
          <w:color w:val="0000FF"/>
          <w:u w:val="single"/>
        </w:rPr>
        <w:instrText>HYPERLINK "https://m.edsoo.ru/f2a32bd2"</w:instrText>
      </w:r>
      <w:r>
        <w:rPr>
          <w:rFonts w:ascii="Times New Roman" w:hAnsi="Times New Roman"/>
          <w:color w:val="0000FF"/>
          <w:u w:val="single"/>
        </w:rPr>
        <w:fldChar w:fldCharType="separate"/>
      </w:r>
      <w:r>
        <w:rPr>
          <w:rFonts w:ascii="Times New Roman" w:hAnsi="Times New Roman"/>
          <w:color w:val="0000FF"/>
          <w:u w:val="single"/>
        </w:rPr>
        <w:t>http</w:t>
      </w:r>
      <w:r>
        <w:rPr>
          <w:rFonts w:ascii="Times New Roman" w:hAnsi="Times New Roman"/>
          <w:color w:val="0000FF"/>
          <w:u w:val="single"/>
        </w:rPr>
        <w:t>s://m.edsoo.ru/f2a32bd2</w:t>
      </w:r>
      <w:r>
        <w:rPr>
          <w:rFonts w:ascii="Times New Roman" w:hAnsi="Times New Roman"/>
          <w:color w:val="0000FF"/>
          <w:u w:val="single"/>
        </w:rPr>
        <w:fldChar w:fldCharType="end"/>
      </w:r>
    </w:p>
    <w:p w14:paraId="AE010000">
      <w:pPr>
        <w:rPr>
          <w:rFonts w:ascii="Times New Roman" w:hAnsi="Times New Roman"/>
        </w:rPr>
      </w:pPr>
      <w:r>
        <w:rPr>
          <w:rFonts w:ascii="Times New Roman" w:hAnsi="Times New Roman"/>
        </w:rPr>
        <w:t>resh.edu.ru</w:t>
      </w:r>
    </w:p>
    <w:p w14:paraId="AF010000"/>
    <w:p w14:paraId="B0010000">
      <w:bookmarkEnd w:id="8"/>
    </w:p>
    <w:sectPr>
      <w:footerReference r:id="rId1" w:type="default"/>
      <w:pgSz w:h="16383" w:orient="portrait" w:w="11906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er1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 w14:paraId="01000000"/>
</w:ftr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</w:abstractNum>
  <w:abstractNum w:abstractNumId="1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</w:abstractNum>
  <w:abstractNum w:abstractNumId="2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</w:abstractNum>
  <w:abstractNum w:abstractNumId="3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</w:abstractNum>
  <w:abstractNum w:abstractNumId="4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</w:abstractNum>
  <w:abstractNum w:abstractNumId="5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2" w:type="paragraph">
    <w:name w:val="Normal"/>
    <w:link w:val="Style_2_ch"/>
    <w:uiPriority w:val="0"/>
    <w:qFormat/>
  </w:style>
  <w:style w:default="1" w:styleId="Style_2_ch" w:type="character">
    <w:name w:val="Normal"/>
    <w:link w:val="Style_2"/>
  </w:style>
  <w:style w:styleId="Style_3" w:type="paragraph">
    <w:name w:val="toc 2"/>
    <w:next w:val="Style_2"/>
    <w:link w:val="Style_3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3_ch" w:type="character">
    <w:name w:val="toc 2"/>
    <w:link w:val="Style_3"/>
    <w:rPr>
      <w:rFonts w:ascii="XO Thames" w:hAnsi="XO Thames"/>
      <w:sz w:val="28"/>
    </w:rPr>
  </w:style>
  <w:style w:styleId="Style_4" w:type="paragraph">
    <w:name w:val="toc 4"/>
    <w:next w:val="Style_2"/>
    <w:link w:val="Style_4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4_ch" w:type="character">
    <w:name w:val="toc 4"/>
    <w:link w:val="Style_4"/>
    <w:rPr>
      <w:rFonts w:ascii="XO Thames" w:hAnsi="XO Thames"/>
      <w:sz w:val="28"/>
    </w:rPr>
  </w:style>
  <w:style w:styleId="Style_5" w:type="paragraph">
    <w:name w:val="toc 6"/>
    <w:next w:val="Style_2"/>
    <w:link w:val="Style_5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5_ch" w:type="character">
    <w:name w:val="toc 6"/>
    <w:link w:val="Style_5"/>
    <w:rPr>
      <w:rFonts w:ascii="XO Thames" w:hAnsi="XO Thames"/>
      <w:sz w:val="28"/>
    </w:rPr>
  </w:style>
  <w:style w:styleId="Style_6" w:type="paragraph">
    <w:name w:val="toc 7"/>
    <w:next w:val="Style_2"/>
    <w:link w:val="Style_6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6_ch" w:type="character">
    <w:name w:val="toc 7"/>
    <w:link w:val="Style_6"/>
    <w:rPr>
      <w:rFonts w:ascii="XO Thames" w:hAnsi="XO Thames"/>
      <w:sz w:val="28"/>
    </w:rPr>
  </w:style>
  <w:style w:styleId="Style_7" w:type="paragraph">
    <w:name w:val="heading 3"/>
    <w:basedOn w:val="Style_2"/>
    <w:next w:val="Style_2"/>
    <w:link w:val="Style_7_ch"/>
    <w:uiPriority w:val="9"/>
    <w:qFormat/>
    <w:pPr>
      <w:keepNext w:val="1"/>
      <w:keepLines w:val="1"/>
      <w:spacing w:before="200"/>
      <w:ind/>
      <w:outlineLvl w:val="2"/>
    </w:pPr>
    <w:rPr>
      <w:rFonts w:asciiTheme="majorAscii" w:hAnsiTheme="majorHAnsi"/>
      <w:b w:val="1"/>
      <w:color w:themeColor="accent1" w:val="4F81BD"/>
    </w:rPr>
  </w:style>
  <w:style w:styleId="Style_7_ch" w:type="character">
    <w:name w:val="heading 3"/>
    <w:basedOn w:val="Style_2_ch"/>
    <w:link w:val="Style_7"/>
    <w:rPr>
      <w:rFonts w:asciiTheme="majorAscii" w:hAnsiTheme="majorHAnsi"/>
      <w:b w:val="1"/>
      <w:color w:themeColor="accent1" w:val="4F81BD"/>
    </w:rPr>
  </w:style>
  <w:style w:styleId="Style_8" w:type="paragraph">
    <w:name w:val="toc 3"/>
    <w:next w:val="Style_2"/>
    <w:link w:val="Style_8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8_ch" w:type="character">
    <w:name w:val="toc 3"/>
    <w:link w:val="Style_8"/>
    <w:rPr>
      <w:rFonts w:ascii="XO Thames" w:hAnsi="XO Thames"/>
      <w:sz w:val="28"/>
    </w:rPr>
  </w:style>
  <w:style w:styleId="Style_9" w:type="paragraph">
    <w:name w:val="Default Paragraph Font"/>
    <w:link w:val="Style_9_ch"/>
  </w:style>
  <w:style w:styleId="Style_9_ch" w:type="character">
    <w:name w:val="Default Paragraph Font"/>
    <w:link w:val="Style_9"/>
  </w:style>
  <w:style w:styleId="Style_10" w:type="paragraph">
    <w:name w:val="heading 5"/>
    <w:next w:val="Style_2"/>
    <w:link w:val="Style_10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0_ch" w:type="character">
    <w:name w:val="heading 5"/>
    <w:link w:val="Style_10"/>
    <w:rPr>
      <w:rFonts w:ascii="XO Thames" w:hAnsi="XO Thames"/>
      <w:b w:val="1"/>
      <w:sz w:val="22"/>
    </w:rPr>
  </w:style>
  <w:style w:styleId="Style_11" w:type="paragraph">
    <w:name w:val="heading 1"/>
    <w:basedOn w:val="Style_2"/>
    <w:next w:val="Style_2"/>
    <w:link w:val="Style_11_ch"/>
    <w:uiPriority w:val="9"/>
    <w:qFormat/>
    <w:pPr>
      <w:keepNext w:val="1"/>
      <w:keepLines w:val="1"/>
      <w:spacing w:before="480"/>
      <w:ind/>
      <w:outlineLvl w:val="0"/>
    </w:pPr>
    <w:rPr>
      <w:rFonts w:asciiTheme="majorAscii" w:hAnsiTheme="majorHAnsi"/>
      <w:b w:val="1"/>
      <w:color w:themeColor="accent1" w:themeShade="BF" w:val="366091"/>
      <w:sz w:val="28"/>
    </w:rPr>
  </w:style>
  <w:style w:styleId="Style_11_ch" w:type="character">
    <w:name w:val="heading 1"/>
    <w:basedOn w:val="Style_2_ch"/>
    <w:link w:val="Style_11"/>
    <w:rPr>
      <w:rFonts w:asciiTheme="majorAscii" w:hAnsiTheme="majorHAnsi"/>
      <w:b w:val="1"/>
      <w:color w:themeColor="accent1" w:themeShade="BF" w:val="366091"/>
      <w:sz w:val="28"/>
    </w:rPr>
  </w:style>
  <w:style w:styleId="Style_12" w:type="paragraph">
    <w:name w:val="Hyperlink"/>
    <w:basedOn w:val="Style_9"/>
    <w:link w:val="Style_12_ch"/>
    <w:rPr>
      <w:color w:themeColor="hyperlink" w:val="0000FF"/>
      <w:u w:val="single"/>
    </w:rPr>
  </w:style>
  <w:style w:styleId="Style_12_ch" w:type="character">
    <w:name w:val="Hyperlink"/>
    <w:basedOn w:val="Style_9_ch"/>
    <w:link w:val="Style_12"/>
    <w:rPr>
      <w:color w:themeColor="hyperlink" w:val="0000FF"/>
      <w:u w:val="single"/>
    </w:rPr>
  </w:style>
  <w:style w:styleId="Style_13" w:type="paragraph">
    <w:name w:val="Footnote"/>
    <w:link w:val="Style_13_ch"/>
    <w:pPr>
      <w:ind w:firstLine="851" w:left="0"/>
      <w:jc w:val="both"/>
    </w:pPr>
    <w:rPr>
      <w:rFonts w:ascii="XO Thames" w:hAnsi="XO Thames"/>
      <w:sz w:val="22"/>
    </w:rPr>
  </w:style>
  <w:style w:styleId="Style_13_ch" w:type="character">
    <w:name w:val="Footnote"/>
    <w:link w:val="Style_13"/>
    <w:rPr>
      <w:rFonts w:ascii="XO Thames" w:hAnsi="XO Thames"/>
      <w:sz w:val="22"/>
    </w:rPr>
  </w:style>
  <w:style w:styleId="Style_14" w:type="paragraph">
    <w:name w:val="toc 1"/>
    <w:next w:val="Style_2"/>
    <w:link w:val="Style_14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4_ch" w:type="character">
    <w:name w:val="toc 1"/>
    <w:link w:val="Style_14"/>
    <w:rPr>
      <w:rFonts w:ascii="XO Thames" w:hAnsi="XO Thames"/>
      <w:b w:val="1"/>
      <w:sz w:val="28"/>
    </w:rPr>
  </w:style>
  <w:style w:styleId="Style_15" w:type="paragraph">
    <w:name w:val="Header and Footer"/>
    <w:link w:val="Style_15_ch"/>
    <w:pPr>
      <w:spacing w:line="240" w:lineRule="auto"/>
      <w:ind/>
      <w:jc w:val="both"/>
    </w:pPr>
    <w:rPr>
      <w:rFonts w:ascii="XO Thames" w:hAnsi="XO Thames"/>
      <w:sz w:val="20"/>
    </w:rPr>
  </w:style>
  <w:style w:styleId="Style_15_ch" w:type="character">
    <w:name w:val="Header and Footer"/>
    <w:link w:val="Style_15"/>
    <w:rPr>
      <w:rFonts w:ascii="XO Thames" w:hAnsi="XO Thames"/>
      <w:sz w:val="20"/>
    </w:rPr>
  </w:style>
  <w:style w:styleId="Style_16" w:type="paragraph">
    <w:name w:val="toc 9"/>
    <w:next w:val="Style_2"/>
    <w:link w:val="Style_16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6_ch" w:type="character">
    <w:name w:val="toc 9"/>
    <w:link w:val="Style_16"/>
    <w:rPr>
      <w:rFonts w:ascii="XO Thames" w:hAnsi="XO Thames"/>
      <w:sz w:val="28"/>
    </w:rPr>
  </w:style>
  <w:style w:styleId="Style_17" w:type="paragraph">
    <w:name w:val="caption"/>
    <w:basedOn w:val="Style_2"/>
    <w:next w:val="Style_2"/>
    <w:link w:val="Style_17_ch"/>
    <w:pPr>
      <w:spacing w:line="240" w:lineRule="auto"/>
      <w:ind/>
    </w:pPr>
    <w:rPr>
      <w:b w:val="1"/>
      <w:color w:themeColor="accent1" w:val="4F81BD"/>
      <w:sz w:val="18"/>
    </w:rPr>
  </w:style>
  <w:style w:styleId="Style_17_ch" w:type="character">
    <w:name w:val="caption"/>
    <w:basedOn w:val="Style_2_ch"/>
    <w:link w:val="Style_17"/>
    <w:rPr>
      <w:b w:val="1"/>
      <w:color w:themeColor="accent1" w:val="4F81BD"/>
      <w:sz w:val="18"/>
    </w:rPr>
  </w:style>
  <w:style w:styleId="Style_18" w:type="paragraph">
    <w:name w:val="toc 8"/>
    <w:next w:val="Style_2"/>
    <w:link w:val="Style_18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18_ch" w:type="character">
    <w:name w:val="toc 8"/>
    <w:link w:val="Style_18"/>
    <w:rPr>
      <w:rFonts w:ascii="XO Thames" w:hAnsi="XO Thames"/>
      <w:sz w:val="28"/>
    </w:rPr>
  </w:style>
  <w:style w:styleId="Style_19" w:type="paragraph">
    <w:name w:val="toc 5"/>
    <w:next w:val="Style_2"/>
    <w:link w:val="Style_19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19_ch" w:type="character">
    <w:name w:val="toc 5"/>
    <w:link w:val="Style_19"/>
    <w:rPr>
      <w:rFonts w:ascii="XO Thames" w:hAnsi="XO Thames"/>
      <w:sz w:val="28"/>
    </w:rPr>
  </w:style>
  <w:style w:styleId="Style_20" w:type="paragraph">
    <w:name w:val="header"/>
    <w:basedOn w:val="Style_2"/>
    <w:link w:val="Style_20_ch"/>
    <w:pPr>
      <w:tabs>
        <w:tab w:leader="none" w:pos="4680" w:val="center"/>
        <w:tab w:leader="none" w:pos="9360" w:val="right"/>
      </w:tabs>
      <w:ind/>
    </w:pPr>
  </w:style>
  <w:style w:styleId="Style_20_ch" w:type="character">
    <w:name w:val="header"/>
    <w:basedOn w:val="Style_2_ch"/>
    <w:link w:val="Style_20"/>
  </w:style>
  <w:style w:styleId="Style_21" w:type="paragraph">
    <w:name w:val="Emphasis"/>
    <w:basedOn w:val="Style_9"/>
    <w:link w:val="Style_21_ch"/>
    <w:rPr>
      <w:i w:val="1"/>
    </w:rPr>
  </w:style>
  <w:style w:styleId="Style_21_ch" w:type="character">
    <w:name w:val="Emphasis"/>
    <w:basedOn w:val="Style_9_ch"/>
    <w:link w:val="Style_21"/>
    <w:rPr>
      <w:i w:val="1"/>
    </w:rPr>
  </w:style>
  <w:style w:styleId="Style_22" w:type="paragraph">
    <w:name w:val="Subtitle"/>
    <w:basedOn w:val="Style_2"/>
    <w:next w:val="Style_2"/>
    <w:link w:val="Style_22_ch"/>
    <w:uiPriority w:val="11"/>
    <w:qFormat/>
    <w:pPr>
      <w:numPr>
        <w:ilvl w:val="1"/>
      </w:numPr>
      <w:ind w:firstLine="0" w:left="86"/>
    </w:pPr>
    <w:rPr>
      <w:rFonts w:asciiTheme="majorAscii" w:hAnsiTheme="majorHAnsi"/>
      <w:i w:val="1"/>
      <w:color w:themeColor="accent1" w:val="4F81BD"/>
      <w:spacing w:val="15"/>
      <w:sz w:val="24"/>
    </w:rPr>
  </w:style>
  <w:style w:styleId="Style_22_ch" w:type="character">
    <w:name w:val="Subtitle"/>
    <w:basedOn w:val="Style_2_ch"/>
    <w:link w:val="Style_22"/>
    <w:rPr>
      <w:rFonts w:asciiTheme="majorAscii" w:hAnsiTheme="majorHAnsi"/>
      <w:i w:val="1"/>
      <w:color w:themeColor="accent1" w:val="4F81BD"/>
      <w:spacing w:val="15"/>
      <w:sz w:val="24"/>
    </w:rPr>
  </w:style>
  <w:style w:styleId="Style_23" w:type="paragraph">
    <w:name w:val="Normal Indent"/>
    <w:basedOn w:val="Style_2"/>
    <w:link w:val="Style_23_ch"/>
    <w:pPr>
      <w:ind w:firstLine="0" w:left="720"/>
    </w:pPr>
  </w:style>
  <w:style w:styleId="Style_23_ch" w:type="character">
    <w:name w:val="Normal Indent"/>
    <w:basedOn w:val="Style_2_ch"/>
    <w:link w:val="Style_23"/>
  </w:style>
  <w:style w:styleId="Style_24" w:type="paragraph">
    <w:name w:val="Title"/>
    <w:basedOn w:val="Style_2"/>
    <w:next w:val="Style_2"/>
    <w:link w:val="Style_24_ch"/>
    <w:uiPriority w:val="10"/>
    <w:qFormat/>
    <w:pPr>
      <w:spacing w:after="300"/>
      <w:ind/>
      <w:contextualSpacing w:val="1"/>
    </w:pPr>
    <w:rPr>
      <w:rFonts w:asciiTheme="majorAscii" w:hAnsiTheme="majorHAnsi"/>
      <w:color w:themeColor="text2" w:themeShade="BF" w:val="17365D"/>
      <w:spacing w:val="5"/>
      <w:sz w:val="52"/>
    </w:rPr>
  </w:style>
  <w:style w:styleId="Style_24_ch" w:type="character">
    <w:name w:val="Title"/>
    <w:basedOn w:val="Style_2_ch"/>
    <w:link w:val="Style_24"/>
    <w:rPr>
      <w:rFonts w:asciiTheme="majorAscii" w:hAnsiTheme="majorHAnsi"/>
      <w:color w:themeColor="text2" w:themeShade="BF" w:val="17365D"/>
      <w:spacing w:val="5"/>
      <w:sz w:val="52"/>
    </w:rPr>
  </w:style>
  <w:style w:styleId="Style_25" w:type="paragraph">
    <w:name w:val="heading 4"/>
    <w:basedOn w:val="Style_2"/>
    <w:next w:val="Style_2"/>
    <w:link w:val="Style_25_ch"/>
    <w:uiPriority w:val="9"/>
    <w:qFormat/>
    <w:pPr>
      <w:keepNext w:val="1"/>
      <w:keepLines w:val="1"/>
      <w:spacing w:before="200"/>
      <w:ind/>
      <w:outlineLvl w:val="3"/>
    </w:pPr>
    <w:rPr>
      <w:rFonts w:asciiTheme="majorAscii" w:hAnsiTheme="majorHAnsi"/>
      <w:b w:val="1"/>
      <w:i w:val="1"/>
      <w:color w:themeColor="accent1" w:val="4F81BD"/>
    </w:rPr>
  </w:style>
  <w:style w:styleId="Style_25_ch" w:type="character">
    <w:name w:val="heading 4"/>
    <w:basedOn w:val="Style_2_ch"/>
    <w:link w:val="Style_25"/>
    <w:rPr>
      <w:rFonts w:asciiTheme="majorAscii" w:hAnsiTheme="majorHAnsi"/>
      <w:b w:val="1"/>
      <w:i w:val="1"/>
      <w:color w:themeColor="accent1" w:val="4F81BD"/>
    </w:rPr>
  </w:style>
  <w:style w:styleId="Style_26" w:type="paragraph">
    <w:name w:val="heading 2"/>
    <w:basedOn w:val="Style_2"/>
    <w:next w:val="Style_2"/>
    <w:link w:val="Style_26_ch"/>
    <w:uiPriority w:val="9"/>
    <w:qFormat/>
    <w:pPr>
      <w:keepNext w:val="1"/>
      <w:keepLines w:val="1"/>
      <w:spacing w:before="200"/>
      <w:ind/>
      <w:outlineLvl w:val="1"/>
    </w:pPr>
    <w:rPr>
      <w:rFonts w:asciiTheme="majorAscii" w:hAnsiTheme="majorHAnsi"/>
      <w:b w:val="1"/>
      <w:color w:themeColor="accent1" w:val="4F81BD"/>
      <w:sz w:val="26"/>
    </w:rPr>
  </w:style>
  <w:style w:styleId="Style_26_ch" w:type="character">
    <w:name w:val="heading 2"/>
    <w:basedOn w:val="Style_2_ch"/>
    <w:link w:val="Style_26"/>
    <w:rPr>
      <w:rFonts w:asciiTheme="majorAscii" w:hAnsiTheme="majorHAnsi"/>
      <w:b w:val="1"/>
      <w:color w:themeColor="accent1" w:val="4F81BD"/>
      <w:sz w:val="26"/>
    </w:rPr>
  </w:style>
  <w:style w:default="1" w:styleId="Style_1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27" w:type="table">
    <w:name w:val="Table Grid"/>
    <w:basedOn w:val="Style_1"/>
    <w:pPr>
      <w:spacing w:after="0" w:line="240" w:lineRule="auto"/>
      <w:ind/>
    </w:pPr>
    <w:tblPr>
      <w:tblInd w:type="dxa" w:w="0"/>
      <w:tblBorders>
        <w:top w:sz="4" w:themeColor="text1" w:val="single"/>
        <w:left w:sz="4" w:themeColor="text1" w:val="single"/>
        <w:bottom w:sz="4" w:themeColor="text1" w:val="single"/>
        <w:right w:sz="4" w:themeColor="text1" w:val="single"/>
        <w:insideH w:sz="4" w:themeColor="text1" w:val="single"/>
        <w:insideV w:sz="4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webSettings.xml" Type="http://schemas.openxmlformats.org/officeDocument/2006/relationships/webSettings"/>
  <Relationship Id="rId6" Target="stylesWithEffects.xml" Type="http://schemas.microsoft.com/office/2007/relationships/stylesWithEffects"/>
  <Relationship Id="rId9" Target="numbering.xml" Type="http://schemas.openxmlformats.org/officeDocument/2006/relationships/numbering"/>
  <Relationship Id="rId5" Target="styles.xml" Type="http://schemas.openxmlformats.org/officeDocument/2006/relationships/styles"/>
  <Relationship Id="rId8" Target="theme/theme1.xml" Type="http://schemas.openxmlformats.org/officeDocument/2006/relationships/theme"/>
  <Relationship Id="rId4" Target="settings.xml" Type="http://schemas.openxmlformats.org/officeDocument/2006/relationships/settings"/>
  <Relationship Id="rId3" Target="fontTable.xml" Type="http://schemas.openxmlformats.org/officeDocument/2006/relationships/fontTable"/>
  <Relationship Id="rId2" Target="media/1.png" Type="http://schemas.openxmlformats.org/officeDocument/2006/relationships/image"/>
  <Relationship Id="rId1" Target="footer1.xml" Type="http://schemas.openxmlformats.org/officeDocument/2006/relationships/foot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2025-04-22T07:57:22Z</dcterms:modified>
</cp:coreProperties>
</file>